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FF6F08" w:rsidRPr="00FF6F08" w:rsidRDefault="00E83C4C" w:rsidP="00FF6F08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FF6F08">
        <w:rPr>
          <w:b/>
          <w:sz w:val="32"/>
          <w:szCs w:val="32"/>
        </w:rPr>
        <w:t>„</w:t>
      </w:r>
      <w:r w:rsidR="00FF6F08" w:rsidRPr="00FF6F08">
        <w:rPr>
          <w:b/>
          <w:sz w:val="32"/>
          <w:szCs w:val="32"/>
        </w:rPr>
        <w:t>Rekonstrukce mostu v km 1,429</w:t>
      </w:r>
    </w:p>
    <w:p w:rsidR="00E83C4C" w:rsidRPr="00B26902" w:rsidRDefault="00FF6F08" w:rsidP="00E83C4C">
      <w:pPr>
        <w:pStyle w:val="RLdajeosmluvnstran"/>
        <w:rPr>
          <w:b/>
          <w:sz w:val="32"/>
          <w:szCs w:val="32"/>
        </w:rPr>
      </w:pPr>
      <w:r w:rsidRPr="00FF6F08">
        <w:rPr>
          <w:b/>
          <w:sz w:val="32"/>
          <w:szCs w:val="32"/>
        </w:rPr>
        <w:t xml:space="preserve"> trati Pňovany - Bezdružice</w:t>
      </w:r>
      <w:r w:rsidR="00E83C4C" w:rsidRPr="00FF6F08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FF6F08" w:rsidRDefault="00E83C4C" w:rsidP="00E83C4C">
      <w:pPr>
        <w:pStyle w:val="RLdajeosmluvnstran"/>
        <w:rPr>
          <w:szCs w:val="22"/>
        </w:rPr>
      </w:pPr>
      <w:r w:rsidRPr="00FF6F08">
        <w:rPr>
          <w:szCs w:val="22"/>
        </w:rPr>
        <w:t xml:space="preserve">spisová značka A </w:t>
      </w:r>
      <w:r w:rsidRPr="00FF6F08">
        <w:rPr>
          <w:bCs/>
          <w:szCs w:val="22"/>
        </w:rPr>
        <w:t>48384</w:t>
      </w:r>
    </w:p>
    <w:p w:rsidR="00E83C4C" w:rsidRPr="00FF6F08" w:rsidRDefault="00E83C4C" w:rsidP="00E83C4C">
      <w:pPr>
        <w:pStyle w:val="RLdajeosmluvnstran"/>
        <w:rPr>
          <w:szCs w:val="22"/>
        </w:rPr>
      </w:pPr>
      <w:r w:rsidRPr="00FF6F08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FF6F08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FF6F08" w:rsidRDefault="00E83C4C" w:rsidP="00E83C4C">
      <w:pPr>
        <w:pStyle w:val="RLdajeosmluvnstran"/>
      </w:pPr>
      <w:r w:rsidRPr="00B26902">
        <w:t xml:space="preserve">Správa </w:t>
      </w:r>
      <w:r w:rsidRPr="00FF6F08">
        <w:t>železniční dopravní cesty, státní organizace</w:t>
      </w:r>
    </w:p>
    <w:p w:rsidR="00E83C4C" w:rsidRPr="00B26902" w:rsidRDefault="00E83C4C" w:rsidP="00E83C4C">
      <w:pPr>
        <w:pStyle w:val="RLdajeosmluvnstran"/>
      </w:pPr>
      <w:r w:rsidRPr="00FF6F08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Pr="00B26902">
        <w:rPr>
          <w:szCs w:val="22"/>
          <w:highlight w:val="green"/>
        </w:rPr>
        <w:t>5.. … ….</w:t>
      </w:r>
    </w:p>
    <w:p w:rsidR="00FF6F08" w:rsidRPr="009833C9" w:rsidRDefault="00FF6F08" w:rsidP="00FF6F08">
      <w:pPr>
        <w:pStyle w:val="RLdajeosmluvnstran"/>
      </w:pPr>
      <w:r w:rsidRPr="009833C9">
        <w:t>(samostatně jako „</w:t>
      </w:r>
      <w:r w:rsidRPr="009833C9">
        <w:rPr>
          <w:b/>
        </w:rPr>
        <w:t>Objednatel č. 1</w:t>
      </w:r>
      <w:r w:rsidRPr="009833C9">
        <w:t>“)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FF6F08" w:rsidRDefault="00FF6F08" w:rsidP="00E83C4C">
      <w:pPr>
        <w:pStyle w:val="RLdajeosmluvnstran"/>
        <w:spacing w:after="0" w:line="240" w:lineRule="auto"/>
        <w:rPr>
          <w:szCs w:val="22"/>
        </w:rPr>
      </w:pPr>
    </w:p>
    <w:p w:rsidR="00FF6F08" w:rsidRPr="00FF6F08" w:rsidRDefault="00FF6F08" w:rsidP="00FF6F08">
      <w:pPr>
        <w:pStyle w:val="RLdajeosmluvnstran"/>
        <w:rPr>
          <w:b/>
          <w:szCs w:val="22"/>
        </w:rPr>
      </w:pPr>
      <w:r w:rsidRPr="00FF6F08">
        <w:rPr>
          <w:b/>
          <w:szCs w:val="22"/>
        </w:rPr>
        <w:t>Plzeňský kraj</w:t>
      </w:r>
    </w:p>
    <w:p w:rsidR="00FF6F08" w:rsidRPr="00FF6F08" w:rsidRDefault="00FF6F08" w:rsidP="00FF6F08">
      <w:pPr>
        <w:pStyle w:val="RLdajeosmluvnstran"/>
        <w:rPr>
          <w:szCs w:val="22"/>
        </w:rPr>
      </w:pPr>
      <w:r>
        <w:rPr>
          <w:szCs w:val="22"/>
        </w:rPr>
        <w:t>se sídlem:</w:t>
      </w:r>
      <w:r w:rsidRPr="00FF6F08">
        <w:rPr>
          <w:szCs w:val="22"/>
        </w:rPr>
        <w:t xml:space="preserve"> Škroupova 18, Plzeň, PSČ 306 13</w:t>
      </w:r>
    </w:p>
    <w:p w:rsidR="00FF6F08" w:rsidRPr="00FF6F08" w:rsidRDefault="00FF6F08" w:rsidP="00FF6F08">
      <w:pPr>
        <w:pStyle w:val="RLdajeosmluvnstran"/>
        <w:rPr>
          <w:szCs w:val="22"/>
        </w:rPr>
      </w:pPr>
      <w:r w:rsidRPr="00FF6F08">
        <w:rPr>
          <w:szCs w:val="22"/>
        </w:rPr>
        <w:t>IČ: 70890366</w:t>
      </w:r>
      <w:r>
        <w:rPr>
          <w:szCs w:val="22"/>
        </w:rPr>
        <w:t xml:space="preserve"> </w:t>
      </w:r>
      <w:r w:rsidRPr="00FF6F08">
        <w:rPr>
          <w:szCs w:val="22"/>
        </w:rPr>
        <w:t>DIČ: CZ70890366</w:t>
      </w:r>
    </w:p>
    <w:p w:rsidR="00FF6F08" w:rsidRPr="00FF6F08" w:rsidRDefault="00FF6F08" w:rsidP="00FF6F08">
      <w:pPr>
        <w:pStyle w:val="RLdajeosmluvnstran"/>
        <w:rPr>
          <w:szCs w:val="22"/>
        </w:rPr>
      </w:pPr>
      <w:r>
        <w:rPr>
          <w:szCs w:val="22"/>
        </w:rPr>
        <w:t>z</w:t>
      </w:r>
      <w:r w:rsidRPr="00FF6F08">
        <w:rPr>
          <w:szCs w:val="22"/>
        </w:rPr>
        <w:t>astoupený</w:t>
      </w:r>
      <w:r>
        <w:rPr>
          <w:szCs w:val="22"/>
        </w:rPr>
        <w:t>:</w:t>
      </w:r>
      <w:r w:rsidRPr="00FF6F08">
        <w:rPr>
          <w:szCs w:val="22"/>
        </w:rPr>
        <w:t xml:space="preserve"> Josefem Bernardem, hejtmanem Plzeňského kraje</w:t>
      </w:r>
    </w:p>
    <w:p w:rsidR="00FF6F08" w:rsidRDefault="00FF6F08" w:rsidP="00FF6F08">
      <w:pPr>
        <w:pStyle w:val="RLdajeosmluvnstran"/>
        <w:spacing w:after="0" w:line="240" w:lineRule="auto"/>
        <w:rPr>
          <w:szCs w:val="22"/>
        </w:rPr>
      </w:pPr>
      <w:r w:rsidRPr="00FF6F08">
        <w:rPr>
          <w:szCs w:val="22"/>
        </w:rPr>
        <w:t>K podpisu pověřen Ing. Pavel Čížek – náměstek hejtmana pro oblast dopravy, na základě usnesení RPK č. 508/17 ze dne 24.4.2017</w:t>
      </w:r>
    </w:p>
    <w:p w:rsidR="00FF6F08" w:rsidRDefault="00FF6F08" w:rsidP="00FF6F08">
      <w:pPr>
        <w:pStyle w:val="RLdajeosmluvnstran"/>
        <w:spacing w:after="0" w:line="240" w:lineRule="auto"/>
        <w:rPr>
          <w:szCs w:val="22"/>
        </w:rPr>
      </w:pPr>
    </w:p>
    <w:p w:rsidR="00FF6F08" w:rsidRPr="009833C9" w:rsidRDefault="00FF6F08" w:rsidP="00FF6F08">
      <w:pPr>
        <w:pStyle w:val="RLdajeosmluvnstran"/>
      </w:pPr>
      <w:r w:rsidRPr="009833C9">
        <w:t>(samostatně jako „</w:t>
      </w:r>
      <w:r w:rsidRPr="009833C9">
        <w:rPr>
          <w:b/>
        </w:rPr>
        <w:t xml:space="preserve">Objednatel č. </w:t>
      </w:r>
      <w:r>
        <w:rPr>
          <w:b/>
        </w:rPr>
        <w:t>2</w:t>
      </w:r>
      <w:r w:rsidRPr="009833C9">
        <w:t>“)</w:t>
      </w:r>
    </w:p>
    <w:p w:rsidR="00FF6F08" w:rsidRDefault="00FF6F08" w:rsidP="00E83C4C">
      <w:pPr>
        <w:pStyle w:val="RLdajeosmluvnstran"/>
        <w:spacing w:after="0" w:line="240" w:lineRule="auto"/>
        <w:rPr>
          <w:szCs w:val="22"/>
        </w:rPr>
      </w:pPr>
      <w:r w:rsidRPr="00FF6F08">
        <w:rPr>
          <w:szCs w:val="22"/>
        </w:rPr>
        <w:t>(společně jako „</w:t>
      </w:r>
      <w:r w:rsidRPr="00FF6F08">
        <w:rPr>
          <w:b/>
          <w:szCs w:val="22"/>
        </w:rPr>
        <w:t>Objednatel</w:t>
      </w:r>
      <w:r w:rsidRPr="00FF6F08">
        <w:rPr>
          <w:szCs w:val="22"/>
        </w:rPr>
        <w:t>“)</w:t>
      </w:r>
    </w:p>
    <w:p w:rsidR="00FF6F08" w:rsidRDefault="00FF6F08" w:rsidP="00E83C4C">
      <w:pPr>
        <w:pStyle w:val="RLdajeosmluvnstran"/>
        <w:spacing w:after="0" w:line="240" w:lineRule="auto"/>
        <w:rPr>
          <w:szCs w:val="22"/>
        </w:rPr>
      </w:pPr>
    </w:p>
    <w:p w:rsidR="00FF6F08" w:rsidRDefault="00FF6F08" w:rsidP="00E83C4C">
      <w:pPr>
        <w:pStyle w:val="RLdajeosmluvnstran"/>
        <w:spacing w:after="0" w:line="240" w:lineRule="auto"/>
        <w:rPr>
          <w:szCs w:val="22"/>
        </w:rPr>
      </w:pPr>
      <w:r>
        <w:rPr>
          <w:szCs w:val="22"/>
        </w:rPr>
        <w:t>a</w:t>
      </w:r>
    </w:p>
    <w:p w:rsidR="00FF6F08" w:rsidRPr="00B26902" w:rsidRDefault="00FF6F08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spojení: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FF6F08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FF6F08">
        <w:t xml:space="preserve">„Rekonstrukce mostu v km 1,429 trati Pňovany – Bezdružice“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341269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</w:t>
      </w:r>
      <w:r w:rsidR="009124DF">
        <w:rPr>
          <w:rFonts w:ascii="Calibri" w:hAnsi="Calibri"/>
          <w:sz w:val="22"/>
          <w:szCs w:val="22"/>
        </w:rPr>
        <w:t>, První vydání 06/2017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2A66C2" w:rsidRPr="002A66C2" w:rsidRDefault="002A66C2" w:rsidP="002A66C2">
      <w:pPr>
        <w:ind w:left="851" w:hanging="85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</w:t>
      </w:r>
      <w:r w:rsidRPr="002A66C2">
        <w:rPr>
          <w:rFonts w:ascii="Calibri" w:hAnsi="Calibri"/>
          <w:sz w:val="22"/>
          <w:szCs w:val="22"/>
        </w:rPr>
        <w:t>- Posuzovací protokol projektu stavby „Rekonstrukce mostu v km 1,429 trati Pňovany –  Bezdružice“,  č.j.  1936/2017-SŽDC-SSZ-ÚT2-SK z 15.3.2017</w:t>
      </w:r>
    </w:p>
    <w:p w:rsidR="002A66C2" w:rsidRPr="00B26902" w:rsidRDefault="002A66C2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</w:t>
      </w:r>
      <w:r w:rsidRPr="00B26902">
        <w:lastRenderedPageBreak/>
        <w:t xml:space="preserve">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C1577A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 xml:space="preserve">ustanovení vykládána </w:t>
      </w:r>
      <w:r w:rsidRPr="00C1577A">
        <w:rPr>
          <w:rFonts w:ascii="Calibri" w:hAnsi="Calibri"/>
        </w:rPr>
        <w:t>tak, aby v co nejširší míře zohledňovala účel veřejné zakázky, vyjádřený Zadávací dokumentací.</w:t>
      </w:r>
    </w:p>
    <w:p w:rsidR="0032552C" w:rsidRPr="00C1577A" w:rsidRDefault="0032552C" w:rsidP="0032552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747918" w:rsidRPr="00C1577A" w:rsidRDefault="00C1577A" w:rsidP="00C1577A">
      <w:pPr>
        <w:pStyle w:val="SOD1"/>
      </w:pPr>
      <w:r w:rsidRPr="00C1577A">
        <w:t>Pro zhotovení díla není dán požadavek na zajištění interoperability ve smyslu nařízení vlády č.133/2005 Sb.</w:t>
      </w:r>
    </w:p>
    <w:p w:rsidR="001D3EDD" w:rsidRPr="00B26902" w:rsidRDefault="00C46F4E" w:rsidP="00B26902">
      <w:pPr>
        <w:pStyle w:val="SOD1"/>
      </w:pPr>
      <w:r w:rsidRPr="00C1577A">
        <w:t xml:space="preserve">Ukončením Smlouvy </w:t>
      </w:r>
      <w:r w:rsidR="00FE09F3" w:rsidRPr="00C1577A">
        <w:t xml:space="preserve">nejsou dotčena </w:t>
      </w:r>
      <w:r w:rsidR="00FE09F3" w:rsidRPr="00B26902">
        <w:t xml:space="preserve">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65DF6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365DF6">
        <w:t>7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</w:t>
      </w:r>
      <w:r w:rsidR="00901CE0" w:rsidRPr="00B26902">
        <w:lastRenderedPageBreak/>
        <w:t xml:space="preserve">následnou směrovou a výškovou úpravu koleje, a Objednatel si tuto činnost bude muset zajistit jiným zhotovitelem, zavazuje se Zhotovitel projevit součinnost při následné úpravě GPK tak aby zůstala zachována záruka za jakost 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 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32552C" w:rsidRPr="0032552C" w:rsidRDefault="0032552C" w:rsidP="00B26902">
      <w:pPr>
        <w:pStyle w:val="SOD1"/>
      </w:pPr>
      <w:r w:rsidRPr="0032552C">
        <w:t>Neobsazeno.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>Pokud je vybráno více Zhotovitelů na základě                    společné nabídky)</w:t>
      </w:r>
      <w:r w:rsidR="009124DF">
        <w:rPr>
          <w:rFonts w:ascii="Calibri" w:hAnsi="Calibri"/>
          <w:i/>
          <w:sz w:val="22"/>
          <w:szCs w:val="22"/>
        </w:rPr>
        <w:t>.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35111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35111B">
        <w:t>S</w:t>
      </w:r>
      <w:r w:rsidR="004065F3" w:rsidRPr="0035111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C1577A" w:rsidRPr="00B26902" w:rsidRDefault="00C1577A" w:rsidP="00C1577A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C1577A" w:rsidRPr="00B26902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Pr="00B26902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Pr="00B26902" w:rsidRDefault="00C1577A" w:rsidP="00C1577A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>
        <w:rPr>
          <w:rFonts w:ascii="Calibri" w:hAnsi="Calibri"/>
          <w:sz w:val="22"/>
          <w:szCs w:val="22"/>
        </w:rPr>
        <w:t xml:space="preserve"> č. 1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</w:p>
    <w:p w:rsidR="00C1577A" w:rsidRDefault="00C1577A" w:rsidP="00C1577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</w:t>
      </w:r>
    </w:p>
    <w:p w:rsidR="00C1577A" w:rsidRPr="00B26902" w:rsidRDefault="00C1577A" w:rsidP="00C1577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 č. 2</w:t>
      </w:r>
    </w:p>
    <w:p w:rsidR="00C1577A" w:rsidRPr="00B26902" w:rsidRDefault="00C1577A" w:rsidP="00C1577A">
      <w:pPr>
        <w:jc w:val="center"/>
        <w:rPr>
          <w:rFonts w:ascii="Calibri" w:hAnsi="Calibri"/>
          <w:b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 xml:space="preserve"> na mosty a inženýrské konstrukce</w:t>
      </w:r>
      <w:r w:rsidRPr="00F97DBD">
        <w:t>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kvality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32552C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za ochranu životního prostředí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t xml:space="preserve">osoba odpovědná za </w:t>
      </w:r>
      <w:r w:rsidR="00D95674">
        <w:rPr>
          <w:rFonts w:ascii="Calibri" w:hAnsi="Calibri" w:cs="Calibri"/>
          <w:i w:val="0"/>
        </w:rPr>
        <w:t>odpadové hospodářství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D95674" w:rsidRDefault="00D95674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úředně </w:t>
      </w:r>
      <w:r w:rsidRPr="00D95674">
        <w:t xml:space="preserve">oprávněný </w:t>
      </w:r>
      <w:r w:rsidRPr="00D95674">
        <w:rPr>
          <w:rFonts w:ascii="Calibri" w:hAnsi="Calibri" w:cs="Calibri"/>
          <w:bCs/>
        </w:rPr>
        <w:t>zeměměřický inženýr</w:t>
      </w:r>
      <w:r w:rsidR="0019384B" w:rsidRPr="00D95674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sectPr w:rsidR="00773A09" w:rsidRPr="00B26902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2DC" w:rsidRDefault="00F662DC" w:rsidP="00AB4C7F">
      <w:r>
        <w:separator/>
      </w:r>
    </w:p>
  </w:endnote>
  <w:endnote w:type="continuationSeparator" w:id="0">
    <w:p w:rsidR="00F662DC" w:rsidRDefault="00F662DC" w:rsidP="00AB4C7F">
      <w:r>
        <w:continuationSeparator/>
      </w:r>
    </w:p>
  </w:endnote>
  <w:endnote w:type="continuationNotice" w:id="1">
    <w:p w:rsidR="00F662DC" w:rsidRDefault="00F66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Tekton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Adobe Hebr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71533A" w:rsidRPr="000D58AE" w:rsidRDefault="0071533A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3F5A97" w:rsidRDefault="0071533A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00F8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2DC" w:rsidRDefault="00F662DC" w:rsidP="00AB4C7F">
      <w:r>
        <w:separator/>
      </w:r>
    </w:p>
  </w:footnote>
  <w:footnote w:type="continuationSeparator" w:id="0">
    <w:p w:rsidR="00F662DC" w:rsidRDefault="00F662DC" w:rsidP="00AB4C7F">
      <w:r>
        <w:continuationSeparator/>
      </w:r>
    </w:p>
  </w:footnote>
  <w:footnote w:type="continuationNotice" w:id="1">
    <w:p w:rsidR="00F662DC" w:rsidRDefault="00F662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Default="0071533A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2345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A66C2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52C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5111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DF6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65F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04F3A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24DF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0F81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35"/>
    <w:rsid w:val="00C10B4A"/>
    <w:rsid w:val="00C111DE"/>
    <w:rsid w:val="00C113BE"/>
    <w:rsid w:val="00C13945"/>
    <w:rsid w:val="00C1426D"/>
    <w:rsid w:val="00C1577A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3490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49D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674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580D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2DC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8F159-769D-4355-9B75-0CB14E35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2051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Baštářová Helena</cp:lastModifiedBy>
  <cp:revision>2</cp:revision>
  <cp:lastPrinted>2016-10-26T15:27:00Z</cp:lastPrinted>
  <dcterms:created xsi:type="dcterms:W3CDTF">2017-07-25T08:39:00Z</dcterms:created>
  <dcterms:modified xsi:type="dcterms:W3CDTF">2017-07-25T08:39:00Z</dcterms:modified>
</cp:coreProperties>
</file>